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6C6A" w14:textId="77777777" w:rsidR="00FC2B9A" w:rsidRPr="007323A9" w:rsidRDefault="00FC2B9A" w:rsidP="00947272">
      <w:pPr>
        <w:spacing w:after="120"/>
        <w:jc w:val="center"/>
        <w:rPr>
          <w:sz w:val="24"/>
          <w:szCs w:val="24"/>
        </w:rPr>
      </w:pPr>
      <w:r w:rsidRPr="007323A9">
        <w:rPr>
          <w:sz w:val="24"/>
          <w:szCs w:val="24"/>
        </w:rPr>
        <w:t xml:space="preserve">Die </w:t>
      </w:r>
      <w:r w:rsidR="0006543D">
        <w:rPr>
          <w:sz w:val="24"/>
          <w:szCs w:val="24"/>
        </w:rPr>
        <w:t>D</w:t>
      </w:r>
      <w:r w:rsidRPr="007323A9">
        <w:rPr>
          <w:sz w:val="24"/>
          <w:szCs w:val="24"/>
        </w:rPr>
        <w:t>eutsche Sektion der Europäischen Gesellschaft für Theologie</w:t>
      </w:r>
      <w:r>
        <w:rPr>
          <w:sz w:val="24"/>
          <w:szCs w:val="24"/>
        </w:rPr>
        <w:t xml:space="preserve"> lädt</w:t>
      </w:r>
      <w:r w:rsidR="00440674">
        <w:rPr>
          <w:sz w:val="24"/>
          <w:szCs w:val="24"/>
        </w:rPr>
        <w:t xml:space="preserve"> </w:t>
      </w:r>
      <w:r>
        <w:rPr>
          <w:sz w:val="24"/>
          <w:szCs w:val="24"/>
        </w:rPr>
        <w:t>zu einer theolog</w:t>
      </w:r>
      <w:r>
        <w:rPr>
          <w:sz w:val="24"/>
          <w:szCs w:val="24"/>
        </w:rPr>
        <w:t>i</w:t>
      </w:r>
      <w:r>
        <w:rPr>
          <w:sz w:val="24"/>
          <w:szCs w:val="24"/>
        </w:rPr>
        <w:t>schen Fachtagung ein:</w:t>
      </w:r>
    </w:p>
    <w:p w14:paraId="5D2E071B" w14:textId="77777777" w:rsidR="00FC2B9A" w:rsidRPr="00947272" w:rsidRDefault="00FC2B9A" w:rsidP="00C806F2">
      <w:pPr>
        <w:pStyle w:val="berschrift1"/>
        <w:spacing w:before="200" w:line="240" w:lineRule="auto"/>
        <w:jc w:val="center"/>
        <w:rPr>
          <w:b/>
          <w:sz w:val="28"/>
          <w:szCs w:val="28"/>
        </w:rPr>
      </w:pPr>
      <w:r w:rsidRPr="00947272">
        <w:rPr>
          <w:b/>
          <w:sz w:val="28"/>
          <w:szCs w:val="28"/>
        </w:rPr>
        <w:t>Religiöse Pluralisierung – gesellschaftliche Polarisierung – polit</w:t>
      </w:r>
      <w:r w:rsidRPr="00947272">
        <w:rPr>
          <w:b/>
          <w:sz w:val="28"/>
          <w:szCs w:val="28"/>
        </w:rPr>
        <w:t>i</w:t>
      </w:r>
      <w:r w:rsidRPr="00947272">
        <w:rPr>
          <w:b/>
          <w:sz w:val="28"/>
          <w:szCs w:val="28"/>
        </w:rPr>
        <w:t>sche Desintegration</w:t>
      </w:r>
    </w:p>
    <w:p w14:paraId="49D38687" w14:textId="77777777" w:rsidR="00FC2B9A" w:rsidRPr="00947272" w:rsidRDefault="00FC2B9A" w:rsidP="00947272">
      <w:pPr>
        <w:pStyle w:val="berschrift1"/>
        <w:spacing w:before="120" w:after="120" w:line="240" w:lineRule="auto"/>
        <w:jc w:val="center"/>
        <w:rPr>
          <w:b/>
          <w:i/>
          <w:sz w:val="24"/>
          <w:szCs w:val="24"/>
        </w:rPr>
      </w:pPr>
      <w:r w:rsidRPr="00947272">
        <w:rPr>
          <w:b/>
          <w:i/>
          <w:sz w:val="24"/>
          <w:szCs w:val="24"/>
        </w:rPr>
        <w:t>Die Krise Europas als Herausforderung für die Theologie</w:t>
      </w:r>
    </w:p>
    <w:p w14:paraId="52DCBC36" w14:textId="77777777" w:rsidR="00440674" w:rsidRDefault="00440674" w:rsidP="00C74D0E">
      <w:pPr>
        <w:jc w:val="center"/>
        <w:rPr>
          <w:i/>
          <w:iCs/>
        </w:rPr>
      </w:pPr>
      <w:r>
        <w:rPr>
          <w:i/>
          <w:iCs/>
        </w:rPr>
        <w:t>Stuttgart/Hohenheim 3.-5. November 2016</w:t>
      </w:r>
    </w:p>
    <w:p w14:paraId="792D5548" w14:textId="77777777" w:rsidR="00FC2B9A" w:rsidRPr="00947272" w:rsidRDefault="00C76A52" w:rsidP="002605A9">
      <w:pPr>
        <w:spacing w:after="240"/>
        <w:jc w:val="center"/>
        <w:rPr>
          <w:b/>
          <w:i/>
          <w:iCs/>
        </w:rPr>
      </w:pPr>
      <w:r w:rsidRPr="00947272">
        <w:rPr>
          <w:b/>
          <w:i/>
          <w:iCs/>
        </w:rPr>
        <w:t>Call for</w:t>
      </w:r>
      <w:r w:rsidR="00C74D0E" w:rsidRPr="00947272">
        <w:rPr>
          <w:b/>
          <w:i/>
          <w:iCs/>
        </w:rPr>
        <w:t xml:space="preserve"> p</w:t>
      </w:r>
      <w:r w:rsidRPr="00947272">
        <w:rPr>
          <w:b/>
          <w:i/>
          <w:iCs/>
        </w:rPr>
        <w:t>apers</w:t>
      </w:r>
    </w:p>
    <w:p w14:paraId="5B2D9A0C" w14:textId="77777777" w:rsidR="00FC2B9A" w:rsidRDefault="00FC2B9A" w:rsidP="002605A9">
      <w:pPr>
        <w:jc w:val="both"/>
      </w:pPr>
      <w:r>
        <w:t>Die europäischen Gesellschaften durchlaufen derzeit einen tiefgreifenden Wandel, der die Integrat</w:t>
      </w:r>
      <w:r>
        <w:t>i</w:t>
      </w:r>
      <w:r>
        <w:t xml:space="preserve">on </w:t>
      </w:r>
      <w:r w:rsidR="00E07DA2">
        <w:t xml:space="preserve">Europas </w:t>
      </w:r>
      <w:r>
        <w:t>selbst in Frage stellt: Im europäischen Haus zeigen sich tiefe Risse.</w:t>
      </w:r>
      <w:r w:rsidRPr="00FC2B9A">
        <w:t xml:space="preserve"> </w:t>
      </w:r>
      <w:r>
        <w:t>Die Dramatik der Kr</w:t>
      </w:r>
      <w:r>
        <w:t>i</w:t>
      </w:r>
      <w:r>
        <w:t>sen erstreckt sich von den Anschlägen von Paris</w:t>
      </w:r>
      <w:r w:rsidR="00440674">
        <w:t xml:space="preserve"> und Brüssel</w:t>
      </w:r>
      <w:r>
        <w:t xml:space="preserve">, </w:t>
      </w:r>
      <w:r w:rsidR="00457EEF">
        <w:t>der Finanzkrise und dem</w:t>
      </w:r>
      <w:r>
        <w:t xml:space="preserve"> drohenden „</w:t>
      </w:r>
      <w:r w:rsidR="00440674">
        <w:t>Brexit</w:t>
      </w:r>
      <w:r w:rsidR="00440674" w:rsidDel="00440674">
        <w:t xml:space="preserve"> </w:t>
      </w:r>
      <w:r>
        <w:t xml:space="preserve">“, über das Erstarken euroskeptischer und nationalistischer Strömungen, </w:t>
      </w:r>
      <w:r w:rsidR="00457EEF">
        <w:t>d</w:t>
      </w:r>
      <w:r w:rsidR="00440674">
        <w:t>ie</w:t>
      </w:r>
      <w:r>
        <w:t xml:space="preserve"> Bedrohung durch den islamistischen Terror und den Anstieg islamophober Stereotypen, bis hin zur Flüchtling</w:t>
      </w:r>
      <w:r>
        <w:t>s</w:t>
      </w:r>
      <w:r>
        <w:t>krise</w:t>
      </w:r>
      <w:r w:rsidR="00440674">
        <w:t>, zur globalen</w:t>
      </w:r>
      <w:r>
        <w:t xml:space="preserve"> Migration und </w:t>
      </w:r>
      <w:r w:rsidR="00440674">
        <w:t>zur</w:t>
      </w:r>
      <w:r>
        <w:t xml:space="preserve"> damit verbundene religiöse</w:t>
      </w:r>
      <w:r w:rsidR="00440674">
        <w:t>n</w:t>
      </w:r>
      <w:r>
        <w:t xml:space="preserve"> und kulturelle</w:t>
      </w:r>
      <w:r w:rsidR="00440674">
        <w:t>n</w:t>
      </w:r>
      <w:r>
        <w:t xml:space="preserve"> Pluralisierung. Die Debatten um die „Seele Europas“, um eine europäische Verfassung und </w:t>
      </w:r>
      <w:r w:rsidR="00440674">
        <w:t xml:space="preserve">um </w:t>
      </w:r>
      <w:r>
        <w:t>den Stellenwert des rel</w:t>
      </w:r>
      <w:r>
        <w:t>i</w:t>
      </w:r>
      <w:r>
        <w:t xml:space="preserve">giösen, kulturellen Erbes </w:t>
      </w:r>
      <w:r w:rsidR="00440674">
        <w:t xml:space="preserve">gerade mit Blick auf den </w:t>
      </w:r>
      <w:r>
        <w:t>Islam haben deutlich gemacht, dass mit der polit</w:t>
      </w:r>
      <w:r>
        <w:t>i</w:t>
      </w:r>
      <w:r>
        <w:t xml:space="preserve">schen auch die religiöse Dimension an Bedeutung gewinnt. </w:t>
      </w:r>
      <w:r w:rsidR="00296E8B">
        <w:t xml:space="preserve">Damit geht es um Themen, </w:t>
      </w:r>
      <w:r>
        <w:t>die in den Kernbereich theologischer Arbeit hineinreichen, die öffentliche Positionierung, theologische Aufkl</w:t>
      </w:r>
      <w:r>
        <w:t>ä</w:t>
      </w:r>
      <w:r>
        <w:t xml:space="preserve">rung und interreligiösen Dialog fordern. </w:t>
      </w:r>
    </w:p>
    <w:p w14:paraId="7F7BB7F7" w14:textId="77777777" w:rsidR="00947272" w:rsidRDefault="00296E8B" w:rsidP="002605A9">
      <w:pPr>
        <w:jc w:val="both"/>
      </w:pPr>
      <w:r>
        <w:t>Die Tagung will einen neuen Diskurs um die Zukunft Europas und den Beitrag der Theologie(n) eröf</w:t>
      </w:r>
      <w:r>
        <w:t>f</w:t>
      </w:r>
      <w:r>
        <w:t>nen. In diesem Rahmen richtet sich</w:t>
      </w:r>
      <w:r w:rsidR="000751F1">
        <w:t xml:space="preserve"> </w:t>
      </w:r>
      <w:r>
        <w:t>dieser</w:t>
      </w:r>
      <w:r w:rsidR="000751F1">
        <w:t xml:space="preserve"> </w:t>
      </w:r>
      <w:r w:rsidR="000751F1" w:rsidRPr="007323A9">
        <w:rPr>
          <w:i/>
        </w:rPr>
        <w:t>Call for papers</w:t>
      </w:r>
      <w:r>
        <w:rPr>
          <w:i/>
        </w:rPr>
        <w:t xml:space="preserve"> </w:t>
      </w:r>
      <w:r w:rsidR="000751F1" w:rsidRPr="007323A9">
        <w:t>ausdrücklich</w:t>
      </w:r>
      <w:r w:rsidR="000751F1">
        <w:t xml:space="preserve"> auch an den wissenschaftl</w:t>
      </w:r>
      <w:r w:rsidR="000751F1">
        <w:t>i</w:t>
      </w:r>
      <w:r w:rsidR="000751F1">
        <w:t>chen Nachwuchs. Die Teilnahme von Nachwuchswissenschaftler</w:t>
      </w:r>
      <w:r w:rsidR="000751F1" w:rsidRPr="005D423D">
        <w:rPr>
          <w:i/>
        </w:rPr>
        <w:t>inne</w:t>
      </w:r>
      <w:r w:rsidR="000751F1">
        <w:t xml:space="preserve">n aus Mittel-/Osteuropa werden wir finanziell fördern. </w:t>
      </w:r>
      <w:r>
        <w:t>W</w:t>
      </w:r>
      <w:r w:rsidR="000751F1">
        <w:t xml:space="preserve">ir </w:t>
      </w:r>
      <w:r>
        <w:t xml:space="preserve">laden </w:t>
      </w:r>
      <w:r w:rsidR="000751F1">
        <w:t>Theolog</w:t>
      </w:r>
      <w:r w:rsidR="000751F1" w:rsidRPr="005D423D">
        <w:rPr>
          <w:i/>
        </w:rPr>
        <w:t>inn</w:t>
      </w:r>
      <w:r w:rsidR="000751F1">
        <w:t>en aller Disziplinen dazu ein, Vorschläge und Thesen zu präsentieren</w:t>
      </w:r>
      <w:r w:rsidR="00440674">
        <w:t>,</w:t>
      </w:r>
      <w:r w:rsidR="000751F1">
        <w:t xml:space="preserve"> wie Theologie auf die skizzierten Herausforderungen antworten kann. </w:t>
      </w:r>
    </w:p>
    <w:p w14:paraId="484D775D" w14:textId="77777777" w:rsidR="00296E8B" w:rsidRDefault="00296E8B" w:rsidP="002605A9">
      <w:pPr>
        <w:jc w:val="both"/>
      </w:pPr>
      <w:r>
        <w:t>Dabei sollen sich die Thesen den folgenden vier Themenbereichen zuordnen:</w:t>
      </w:r>
    </w:p>
    <w:p w14:paraId="5EE915B5" w14:textId="77777777" w:rsidR="000751F1" w:rsidRPr="00947272" w:rsidRDefault="000751F1" w:rsidP="002605A9">
      <w:pPr>
        <w:jc w:val="both"/>
        <w:rPr>
          <w:sz w:val="20"/>
          <w:szCs w:val="20"/>
        </w:rPr>
      </w:pPr>
      <w:r w:rsidRPr="00947272">
        <w:rPr>
          <w:sz w:val="20"/>
          <w:szCs w:val="20"/>
        </w:rPr>
        <w:t>1.  Die vorpolitische Grundlagen freiheitlicher Gesellschaften zwischen Erosion und Erneuerung</w:t>
      </w:r>
      <w:r w:rsidR="00296E8B" w:rsidRPr="00947272">
        <w:rPr>
          <w:sz w:val="20"/>
          <w:szCs w:val="20"/>
        </w:rPr>
        <w:t xml:space="preserve">: </w:t>
      </w:r>
      <w:r w:rsidRPr="00947272">
        <w:rPr>
          <w:sz w:val="20"/>
          <w:szCs w:val="20"/>
        </w:rPr>
        <w:t>Wie lässt sich das vielzitierte Böckenförde-Paradox unter den Bedingungen pluralistischer und (post-)</w:t>
      </w:r>
      <w:r w:rsidR="00C76A52" w:rsidRPr="00947272">
        <w:rPr>
          <w:sz w:val="20"/>
          <w:szCs w:val="20"/>
        </w:rPr>
        <w:t xml:space="preserve"> </w:t>
      </w:r>
      <w:r w:rsidRPr="00947272">
        <w:rPr>
          <w:sz w:val="20"/>
          <w:szCs w:val="20"/>
        </w:rPr>
        <w:t>säkularer Gesellscha</w:t>
      </w:r>
      <w:r w:rsidRPr="00947272">
        <w:rPr>
          <w:sz w:val="20"/>
          <w:szCs w:val="20"/>
        </w:rPr>
        <w:t>f</w:t>
      </w:r>
      <w:r w:rsidRPr="00947272">
        <w:rPr>
          <w:sz w:val="20"/>
          <w:szCs w:val="20"/>
        </w:rPr>
        <w:t>ten verstehen</w:t>
      </w:r>
      <w:r w:rsidR="00296E8B" w:rsidRPr="00947272">
        <w:rPr>
          <w:sz w:val="20"/>
          <w:szCs w:val="20"/>
        </w:rPr>
        <w:t xml:space="preserve"> und w</w:t>
      </w:r>
      <w:r w:rsidRPr="00947272">
        <w:rPr>
          <w:sz w:val="20"/>
          <w:szCs w:val="20"/>
        </w:rPr>
        <w:t xml:space="preserve">elchen Beitrag können Glauben und Theologie für die Integration </w:t>
      </w:r>
      <w:r w:rsidR="005E35DB" w:rsidRPr="00947272">
        <w:rPr>
          <w:sz w:val="20"/>
          <w:szCs w:val="20"/>
        </w:rPr>
        <w:t xml:space="preserve">auch religiös </w:t>
      </w:r>
      <w:r w:rsidRPr="00947272">
        <w:rPr>
          <w:sz w:val="20"/>
          <w:szCs w:val="20"/>
        </w:rPr>
        <w:t>pluralist</w:t>
      </w:r>
      <w:r w:rsidRPr="00947272">
        <w:rPr>
          <w:sz w:val="20"/>
          <w:szCs w:val="20"/>
        </w:rPr>
        <w:t>i</w:t>
      </w:r>
      <w:r w:rsidRPr="00947272">
        <w:rPr>
          <w:sz w:val="20"/>
          <w:szCs w:val="20"/>
        </w:rPr>
        <w:t>scher Gesellschaften zu</w:t>
      </w:r>
      <w:r w:rsidR="00C76A52" w:rsidRPr="00947272">
        <w:rPr>
          <w:sz w:val="20"/>
          <w:szCs w:val="20"/>
        </w:rPr>
        <w:t xml:space="preserve"> einer Form des friedlichen, </w:t>
      </w:r>
      <w:r w:rsidRPr="00947272">
        <w:rPr>
          <w:sz w:val="20"/>
          <w:szCs w:val="20"/>
        </w:rPr>
        <w:t xml:space="preserve">zivilgesellschaftlichen und politischen Zusammenlebens </w:t>
      </w:r>
      <w:r w:rsidR="00C76A52" w:rsidRPr="00947272">
        <w:rPr>
          <w:sz w:val="20"/>
          <w:szCs w:val="20"/>
        </w:rPr>
        <w:t>leisten?</w:t>
      </w:r>
      <w:r w:rsidRPr="00947272">
        <w:rPr>
          <w:sz w:val="20"/>
          <w:szCs w:val="20"/>
        </w:rPr>
        <w:t xml:space="preserve"> </w:t>
      </w:r>
    </w:p>
    <w:p w14:paraId="2EF2A250" w14:textId="77777777" w:rsidR="000751F1" w:rsidRPr="00947272" w:rsidRDefault="000751F1" w:rsidP="002605A9">
      <w:pPr>
        <w:jc w:val="both"/>
        <w:rPr>
          <w:sz w:val="20"/>
          <w:szCs w:val="20"/>
        </w:rPr>
      </w:pPr>
      <w:r w:rsidRPr="00947272">
        <w:rPr>
          <w:sz w:val="20"/>
          <w:szCs w:val="20"/>
        </w:rPr>
        <w:t>2. Bedingungen, Kriterien und Grenzen der Verständigung im Spannungsfeld von Religion, Säkularismus und Populismus</w:t>
      </w:r>
      <w:r w:rsidR="00C76A52" w:rsidRPr="00947272">
        <w:rPr>
          <w:sz w:val="20"/>
          <w:szCs w:val="20"/>
        </w:rPr>
        <w:t xml:space="preserve">: Wie kann eine </w:t>
      </w:r>
      <w:r w:rsidRPr="00947272">
        <w:rPr>
          <w:sz w:val="20"/>
          <w:szCs w:val="20"/>
        </w:rPr>
        <w:t>Verständigung zwischen</w:t>
      </w:r>
      <w:r w:rsidR="005E35DB" w:rsidRPr="00947272">
        <w:rPr>
          <w:sz w:val="20"/>
          <w:szCs w:val="20"/>
        </w:rPr>
        <w:t xml:space="preserve"> den</w:t>
      </w:r>
      <w:r w:rsidRPr="00947272">
        <w:rPr>
          <w:sz w:val="20"/>
          <w:szCs w:val="20"/>
        </w:rPr>
        <w:t xml:space="preserve"> </w:t>
      </w:r>
      <w:r w:rsidR="005E35DB" w:rsidRPr="00947272">
        <w:rPr>
          <w:sz w:val="20"/>
          <w:szCs w:val="20"/>
        </w:rPr>
        <w:t xml:space="preserve">verschiedenen </w:t>
      </w:r>
      <w:r w:rsidRPr="00947272">
        <w:rPr>
          <w:sz w:val="20"/>
          <w:szCs w:val="20"/>
        </w:rPr>
        <w:t>Religionen</w:t>
      </w:r>
      <w:r w:rsidR="005E35DB" w:rsidRPr="00947272">
        <w:rPr>
          <w:sz w:val="20"/>
          <w:szCs w:val="20"/>
        </w:rPr>
        <w:t xml:space="preserve">, zwischen religiösen </w:t>
      </w:r>
      <w:r w:rsidRPr="00947272">
        <w:rPr>
          <w:sz w:val="20"/>
          <w:szCs w:val="20"/>
        </w:rPr>
        <w:t xml:space="preserve">und säkularen Weltanschauungen, </w:t>
      </w:r>
      <w:r w:rsidR="005E35DB" w:rsidRPr="00947272">
        <w:rPr>
          <w:sz w:val="20"/>
          <w:szCs w:val="20"/>
        </w:rPr>
        <w:t xml:space="preserve">zwischen harten und weichen </w:t>
      </w:r>
      <w:r w:rsidRPr="00947272">
        <w:rPr>
          <w:sz w:val="20"/>
          <w:szCs w:val="20"/>
        </w:rPr>
        <w:t>Formen der Religion, zwischen integralistischen und individualistischen Lebensstilen</w:t>
      </w:r>
      <w:r w:rsidR="005E35DB" w:rsidRPr="00947272">
        <w:rPr>
          <w:sz w:val="20"/>
          <w:szCs w:val="20"/>
        </w:rPr>
        <w:t xml:space="preserve"> aussehen</w:t>
      </w:r>
      <w:r w:rsidR="00CA39D2" w:rsidRPr="00947272">
        <w:rPr>
          <w:sz w:val="20"/>
          <w:szCs w:val="20"/>
        </w:rPr>
        <w:t>?</w:t>
      </w:r>
      <w:r w:rsidRPr="00947272">
        <w:rPr>
          <w:sz w:val="20"/>
          <w:szCs w:val="20"/>
        </w:rPr>
        <w:t xml:space="preserve"> </w:t>
      </w:r>
    </w:p>
    <w:p w14:paraId="2D499D92" w14:textId="77777777" w:rsidR="000751F1" w:rsidRPr="00947272" w:rsidRDefault="000751F1" w:rsidP="002605A9">
      <w:pPr>
        <w:jc w:val="both"/>
        <w:rPr>
          <w:sz w:val="20"/>
          <w:szCs w:val="20"/>
        </w:rPr>
      </w:pPr>
      <w:r w:rsidRPr="00947272">
        <w:rPr>
          <w:sz w:val="20"/>
          <w:szCs w:val="20"/>
        </w:rPr>
        <w:t>3. Compassion – Barmherzigkeit – Gerechtigkeit</w:t>
      </w:r>
      <w:r w:rsidR="005E35DB" w:rsidRPr="00947272">
        <w:rPr>
          <w:sz w:val="20"/>
          <w:szCs w:val="20"/>
        </w:rPr>
        <w:t xml:space="preserve"> als</w:t>
      </w:r>
      <w:r w:rsidRPr="00947272">
        <w:rPr>
          <w:sz w:val="20"/>
          <w:szCs w:val="20"/>
        </w:rPr>
        <w:t xml:space="preserve"> </w:t>
      </w:r>
      <w:r w:rsidR="005E35DB" w:rsidRPr="00947272">
        <w:rPr>
          <w:sz w:val="20"/>
          <w:szCs w:val="20"/>
        </w:rPr>
        <w:t>t</w:t>
      </w:r>
      <w:r w:rsidRPr="00947272">
        <w:rPr>
          <w:sz w:val="20"/>
          <w:szCs w:val="20"/>
        </w:rPr>
        <w:t>heologisch-politische Orientierungen für eine humane Gesellschaft</w:t>
      </w:r>
      <w:r w:rsidR="00C74D0E" w:rsidRPr="00947272">
        <w:rPr>
          <w:sz w:val="20"/>
          <w:szCs w:val="20"/>
        </w:rPr>
        <w:t xml:space="preserve">: </w:t>
      </w:r>
      <w:r w:rsidR="005E35DB" w:rsidRPr="00947272">
        <w:rPr>
          <w:sz w:val="20"/>
          <w:szCs w:val="20"/>
        </w:rPr>
        <w:t xml:space="preserve">Trägt die von </w:t>
      </w:r>
      <w:r w:rsidRPr="00947272">
        <w:rPr>
          <w:sz w:val="20"/>
          <w:szCs w:val="20"/>
        </w:rPr>
        <w:t xml:space="preserve">Papst Franziskus </w:t>
      </w:r>
      <w:r w:rsidR="005E35DB" w:rsidRPr="00947272">
        <w:rPr>
          <w:sz w:val="20"/>
          <w:szCs w:val="20"/>
        </w:rPr>
        <w:t xml:space="preserve">ausgerufene </w:t>
      </w:r>
      <w:r w:rsidR="0014229B" w:rsidRPr="00947272">
        <w:rPr>
          <w:sz w:val="20"/>
          <w:szCs w:val="20"/>
        </w:rPr>
        <w:t xml:space="preserve">Kultur der Compassion in ihrer besonderen </w:t>
      </w:r>
      <w:r w:rsidRPr="00947272">
        <w:rPr>
          <w:sz w:val="20"/>
          <w:szCs w:val="20"/>
        </w:rPr>
        <w:t>Verbi</w:t>
      </w:r>
      <w:r w:rsidRPr="00947272">
        <w:rPr>
          <w:sz w:val="20"/>
          <w:szCs w:val="20"/>
        </w:rPr>
        <w:t>n</w:t>
      </w:r>
      <w:r w:rsidRPr="00947272">
        <w:rPr>
          <w:sz w:val="20"/>
          <w:szCs w:val="20"/>
        </w:rPr>
        <w:t xml:space="preserve">dung von Barmherzigkeit und Gerechtigkeit </w:t>
      </w:r>
      <w:r w:rsidR="0014229B" w:rsidRPr="00947272">
        <w:rPr>
          <w:sz w:val="20"/>
          <w:szCs w:val="20"/>
        </w:rPr>
        <w:t xml:space="preserve">und </w:t>
      </w:r>
      <w:r w:rsidR="005E35DB" w:rsidRPr="00947272">
        <w:rPr>
          <w:sz w:val="20"/>
          <w:szCs w:val="20"/>
        </w:rPr>
        <w:t xml:space="preserve">ihrer </w:t>
      </w:r>
      <w:r w:rsidRPr="00947272">
        <w:rPr>
          <w:sz w:val="20"/>
          <w:szCs w:val="20"/>
        </w:rPr>
        <w:t>affektiv-emotionalen Begründung von Religion und Pol</w:t>
      </w:r>
      <w:r w:rsidRPr="00947272">
        <w:rPr>
          <w:sz w:val="20"/>
          <w:szCs w:val="20"/>
        </w:rPr>
        <w:t>i</w:t>
      </w:r>
      <w:r w:rsidRPr="00947272">
        <w:rPr>
          <w:sz w:val="20"/>
          <w:szCs w:val="20"/>
        </w:rPr>
        <w:t>tik</w:t>
      </w:r>
      <w:r w:rsidR="0014229B" w:rsidRPr="00947272">
        <w:rPr>
          <w:sz w:val="20"/>
          <w:szCs w:val="20"/>
        </w:rPr>
        <w:t xml:space="preserve">, die </w:t>
      </w:r>
      <w:r w:rsidRPr="00947272">
        <w:rPr>
          <w:sz w:val="20"/>
          <w:szCs w:val="20"/>
        </w:rPr>
        <w:t xml:space="preserve">eine Art „Weltprogramm des Christentums“ (Metz) </w:t>
      </w:r>
      <w:r w:rsidR="0014229B" w:rsidRPr="00947272">
        <w:rPr>
          <w:sz w:val="20"/>
          <w:szCs w:val="20"/>
        </w:rPr>
        <w:t>darstellt</w:t>
      </w:r>
      <w:r w:rsidR="003D6E06" w:rsidRPr="00947272">
        <w:rPr>
          <w:sz w:val="20"/>
          <w:szCs w:val="20"/>
        </w:rPr>
        <w:t>,</w:t>
      </w:r>
      <w:r w:rsidR="0014229B" w:rsidRPr="00947272">
        <w:rPr>
          <w:sz w:val="20"/>
          <w:szCs w:val="20"/>
        </w:rPr>
        <w:t xml:space="preserve"> tatsächlich </w:t>
      </w:r>
      <w:r w:rsidR="005B0FBB" w:rsidRPr="00947272">
        <w:rPr>
          <w:sz w:val="20"/>
          <w:szCs w:val="20"/>
        </w:rPr>
        <w:t xml:space="preserve">über die kulturellen Milieus hinweg </w:t>
      </w:r>
      <w:r w:rsidR="0014229B" w:rsidRPr="00947272">
        <w:rPr>
          <w:sz w:val="20"/>
          <w:szCs w:val="20"/>
        </w:rPr>
        <w:t>zu</w:t>
      </w:r>
      <w:r w:rsidR="003D6E06" w:rsidRPr="00947272">
        <w:rPr>
          <w:sz w:val="20"/>
          <w:szCs w:val="20"/>
        </w:rPr>
        <w:t xml:space="preserve"> eine</w:t>
      </w:r>
      <w:r w:rsidR="0014229B" w:rsidRPr="00947272">
        <w:rPr>
          <w:sz w:val="20"/>
          <w:szCs w:val="20"/>
        </w:rPr>
        <w:t>r</w:t>
      </w:r>
      <w:r w:rsidR="005B0FBB" w:rsidRPr="00947272">
        <w:rPr>
          <w:sz w:val="20"/>
          <w:szCs w:val="20"/>
        </w:rPr>
        <w:t xml:space="preserve"> normative</w:t>
      </w:r>
      <w:r w:rsidR="0014229B" w:rsidRPr="00947272">
        <w:rPr>
          <w:sz w:val="20"/>
          <w:szCs w:val="20"/>
        </w:rPr>
        <w:t>n</w:t>
      </w:r>
      <w:r w:rsidR="005B0FBB" w:rsidRPr="00947272">
        <w:rPr>
          <w:sz w:val="20"/>
          <w:szCs w:val="20"/>
        </w:rPr>
        <w:t xml:space="preserve"> Orientierung</w:t>
      </w:r>
      <w:r w:rsidR="0014229B" w:rsidRPr="00947272">
        <w:rPr>
          <w:sz w:val="20"/>
          <w:szCs w:val="20"/>
        </w:rPr>
        <w:t xml:space="preserve"> in der Weltgesellschaft bei</w:t>
      </w:r>
      <w:r w:rsidRPr="00947272">
        <w:rPr>
          <w:sz w:val="20"/>
          <w:szCs w:val="20"/>
        </w:rPr>
        <w:t xml:space="preserve">? </w:t>
      </w:r>
    </w:p>
    <w:p w14:paraId="7C2EC0F4" w14:textId="77777777" w:rsidR="00C806F2" w:rsidRDefault="000751F1" w:rsidP="002605A9">
      <w:pPr>
        <w:spacing w:after="200"/>
        <w:jc w:val="both"/>
        <w:rPr>
          <w:sz w:val="20"/>
          <w:szCs w:val="20"/>
        </w:rPr>
      </w:pPr>
      <w:r w:rsidRPr="00947272">
        <w:rPr>
          <w:sz w:val="20"/>
          <w:szCs w:val="20"/>
        </w:rPr>
        <w:t>4. Aufgabe, Selbstverständnis, Ort und Struktur akademischer Theologie in Europa</w:t>
      </w:r>
      <w:r w:rsidR="006945A6" w:rsidRPr="00947272">
        <w:rPr>
          <w:sz w:val="20"/>
          <w:szCs w:val="20"/>
        </w:rPr>
        <w:t xml:space="preserve">: </w:t>
      </w:r>
      <w:r w:rsidRPr="00947272">
        <w:rPr>
          <w:sz w:val="20"/>
          <w:szCs w:val="20"/>
        </w:rPr>
        <w:t>Wie lässt sich die theolog</w:t>
      </w:r>
      <w:r w:rsidRPr="00947272">
        <w:rPr>
          <w:sz w:val="20"/>
          <w:szCs w:val="20"/>
        </w:rPr>
        <w:t>i</w:t>
      </w:r>
      <w:r w:rsidRPr="00947272">
        <w:rPr>
          <w:sz w:val="20"/>
          <w:szCs w:val="20"/>
        </w:rPr>
        <w:t xml:space="preserve">sche Bildung in Forschung und Lehre </w:t>
      </w:r>
      <w:r w:rsidR="0014229B" w:rsidRPr="00947272">
        <w:rPr>
          <w:sz w:val="20"/>
          <w:szCs w:val="20"/>
        </w:rPr>
        <w:t>mit</w:t>
      </w:r>
      <w:r w:rsidRPr="00947272">
        <w:rPr>
          <w:sz w:val="20"/>
          <w:szCs w:val="20"/>
        </w:rPr>
        <w:t xml:space="preserve"> Blick auf religiöse Breitenbildung</w:t>
      </w:r>
      <w:r w:rsidR="0014229B" w:rsidRPr="00947272">
        <w:rPr>
          <w:sz w:val="20"/>
          <w:szCs w:val="20"/>
        </w:rPr>
        <w:t>,</w:t>
      </w:r>
      <w:r w:rsidRPr="00947272">
        <w:rPr>
          <w:sz w:val="20"/>
          <w:szCs w:val="20"/>
        </w:rPr>
        <w:t xml:space="preserve"> </w:t>
      </w:r>
      <w:r w:rsidR="0014229B" w:rsidRPr="00947272">
        <w:rPr>
          <w:sz w:val="20"/>
          <w:szCs w:val="20"/>
        </w:rPr>
        <w:t xml:space="preserve">auf </w:t>
      </w:r>
      <w:r w:rsidRPr="00947272">
        <w:rPr>
          <w:sz w:val="20"/>
          <w:szCs w:val="20"/>
        </w:rPr>
        <w:t>ein „ganzheitliches“ Verständnis menschlicher Bildungsprozesse</w:t>
      </w:r>
      <w:r w:rsidR="0014229B" w:rsidRPr="00947272">
        <w:rPr>
          <w:sz w:val="20"/>
          <w:szCs w:val="20"/>
        </w:rPr>
        <w:t xml:space="preserve"> und auf breite gesellschaftliche Wirkung</w:t>
      </w:r>
      <w:r w:rsidR="006945A6" w:rsidRPr="00947272">
        <w:rPr>
          <w:sz w:val="20"/>
          <w:szCs w:val="20"/>
        </w:rPr>
        <w:t xml:space="preserve"> </w:t>
      </w:r>
      <w:r w:rsidR="0014229B" w:rsidRPr="00947272">
        <w:rPr>
          <w:sz w:val="20"/>
          <w:szCs w:val="20"/>
        </w:rPr>
        <w:t>erneuern</w:t>
      </w:r>
      <w:r w:rsidRPr="00947272">
        <w:rPr>
          <w:sz w:val="20"/>
          <w:szCs w:val="20"/>
        </w:rPr>
        <w:t xml:space="preserve">? </w:t>
      </w:r>
    </w:p>
    <w:p w14:paraId="259E5267" w14:textId="405A1C91" w:rsidR="0014182E" w:rsidRDefault="002605A9" w:rsidP="002605A9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Wir</w:t>
      </w:r>
      <w:bookmarkStart w:id="0" w:name="_GoBack"/>
      <w:bookmarkEnd w:id="0"/>
      <w:r w:rsidR="0014182E">
        <w:rPr>
          <w:sz w:val="20"/>
          <w:szCs w:val="20"/>
        </w:rPr>
        <w:t xml:space="preserve"> bitten um d</w:t>
      </w:r>
      <w:r>
        <w:rPr>
          <w:sz w:val="20"/>
          <w:szCs w:val="20"/>
        </w:rPr>
        <w:t>ie Einsendung der Abstracts</w:t>
      </w:r>
      <w:r w:rsidR="0014182E">
        <w:rPr>
          <w:sz w:val="20"/>
          <w:szCs w:val="20"/>
        </w:rPr>
        <w:t xml:space="preserve"> bis zum 1. August 2016 an </w:t>
      </w:r>
      <w:r w:rsidRPr="002605A9">
        <w:rPr>
          <w:i/>
          <w:sz w:val="20"/>
          <w:szCs w:val="20"/>
        </w:rPr>
        <w:t>karlheinz.ruhstorfer@tu-dresden.de</w:t>
      </w:r>
      <w:r w:rsidR="0014182E">
        <w:rPr>
          <w:sz w:val="20"/>
          <w:szCs w:val="20"/>
        </w:rPr>
        <w:t>.</w:t>
      </w:r>
    </w:p>
    <w:p w14:paraId="28AD4575" w14:textId="77777777" w:rsidR="00947272" w:rsidRPr="00947272" w:rsidRDefault="00947272" w:rsidP="00947272">
      <w:pPr>
        <w:spacing w:after="0"/>
      </w:pPr>
      <w:r w:rsidRPr="00947272">
        <w:t>Der Vorstand der deutschen Sektion</w:t>
      </w:r>
    </w:p>
    <w:p w14:paraId="1A4E53E0" w14:textId="77777777" w:rsidR="00947272" w:rsidRDefault="00947272" w:rsidP="00947272">
      <w:pPr>
        <w:spacing w:after="0"/>
        <w:rPr>
          <w:i/>
        </w:rPr>
      </w:pPr>
      <w:r w:rsidRPr="00947272">
        <w:rPr>
          <w:i/>
        </w:rPr>
        <w:t>Karlheinz Ruhstorfer, Hilary Mooney, Martin Kirschner, Patrick Becker</w:t>
      </w:r>
    </w:p>
    <w:sectPr w:rsidR="00947272" w:rsidSect="0014182E">
      <w:pgSz w:w="11906" w:h="16838"/>
      <w:pgMar w:top="907" w:right="1417" w:bottom="102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697518ba-572c-42b6-bc34-d05424bb6515}"/>
  </w:docVars>
  <w:rsids>
    <w:rsidRoot w:val="00FC2B9A"/>
    <w:rsid w:val="0006543D"/>
    <w:rsid w:val="000751F1"/>
    <w:rsid w:val="000D7D50"/>
    <w:rsid w:val="0014182E"/>
    <w:rsid w:val="0014229B"/>
    <w:rsid w:val="002605A9"/>
    <w:rsid w:val="00296E8B"/>
    <w:rsid w:val="003D6E06"/>
    <w:rsid w:val="00440674"/>
    <w:rsid w:val="00457EEF"/>
    <w:rsid w:val="005B0FBB"/>
    <w:rsid w:val="005E35DB"/>
    <w:rsid w:val="006945A6"/>
    <w:rsid w:val="00947272"/>
    <w:rsid w:val="00B022C0"/>
    <w:rsid w:val="00C74D0E"/>
    <w:rsid w:val="00C76A52"/>
    <w:rsid w:val="00C806F2"/>
    <w:rsid w:val="00CA39D2"/>
    <w:rsid w:val="00E07DA2"/>
    <w:rsid w:val="00F96B95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75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FC2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FC2B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76A52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B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B0F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FC2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FC2B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76A52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B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B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3175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</dc:creator>
  <cp:keywords/>
  <dc:description/>
  <cp:lastModifiedBy>Karlheinz Ruhstorfer</cp:lastModifiedBy>
  <cp:revision>5</cp:revision>
  <cp:lastPrinted>2016-04-08T08:21:00Z</cp:lastPrinted>
  <dcterms:created xsi:type="dcterms:W3CDTF">2016-04-04T13:20:00Z</dcterms:created>
  <dcterms:modified xsi:type="dcterms:W3CDTF">2016-04-08T09:04:00Z</dcterms:modified>
</cp:coreProperties>
</file>